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Pr>
        <w:tabs>
          <w:tab w:val="left" w:pos="0"/>
          <w:tab w:val="left" w:pos="1100"/>
          <w:tab w:val="left" w:pos="5670"/>
          <w:tab w:val="left" w:pos="5760"/>
        </w:tabs>
        <w:suppressAutoHyphens/>
        <w:spacing w:before="60" w:after="60"/>
      </w:pPr>
    </w:p>
    <w:p>
      <w:r>
        <w:rPr>
          <w:b/>
          <w:bCs/>
          <w:u w:val="single"/>
        </w:rPr>
        <w:t>Private &amp; Confidential</w:t>
      </w:r>
    </w:p>
    <w:p>
      <w:r>
        <w:t>[CNT:Name]</w:t>
      </w:r>
    </w:p>
    <w:p>
      <w:r>
        <w:t>[CNT:Address]</w:t>
      </w:r>
    </w:p>
    <w:p/>
    <w:p/>
    <w:p/>
    <w:p>
      <w:r>
        <w:t>Re:</w:t>
      </w:r>
      <w:r>
        <w:tab/>
        <w:t>[MAT:Description]</w:t>
      </w:r>
    </w:p>
    <w:p>
      <w:r>
        <w:t>_______________________________</w:t>
      </w:r>
    </w:p>
    <w:p/>
    <w:p>
      <w:r>
        <w:t>Dear [CNT:Salut],</w:t>
      </w:r>
    </w:p>
    <w:p/>
    <w:p>
      <w:r>
        <w:t>I refer to the above.</w:t>
      </w:r>
    </w:p>
    <w:p/>
    <w:p>
      <w:pPr>
        <w:pStyle w:val="BodyText"/>
      </w:pPr>
      <w:r>
        <w:t>I write to advise that I have now received Contracts for Sale together with copy title documents in relation to the above property from [CAN:Name.Solicitors#01] who represent the Vendor.</w:t>
      </w:r>
    </w:p>
    <w:p>
      <w:pPr>
        <w:jc w:val="both"/>
      </w:pPr>
    </w:p>
    <w:p>
      <w:pPr>
        <w:pStyle w:val="BodyText"/>
      </w:pPr>
      <w:r>
        <w:t xml:space="preserve">I enclose herewith a copy of the Contract for </w:t>
      </w:r>
      <w:smartTag w:uri="urn:schemas-microsoft-com:office:smarttags" w:element="place">
        <w:smartTag w:uri="urn:schemas-microsoft-com:office:smarttags" w:element="City">
          <w:r>
            <w:t>Sale</w:t>
          </w:r>
        </w:smartTag>
      </w:smartTag>
      <w:r>
        <w:t xml:space="preserve"> and I would draw your attention to the following salient details thereof:-</w:t>
      </w:r>
    </w:p>
    <w:p>
      <w:pPr>
        <w:tabs>
          <w:tab w:val="left" w:pos="600"/>
        </w:tabs>
        <w:ind w:left="600" w:hanging="600"/>
        <w:jc w:val="both"/>
      </w:pPr>
    </w:p>
    <w:p>
      <w:pPr>
        <w:numPr>
          <w:ilvl w:val="0"/>
          <w:numId w:val="3"/>
        </w:numPr>
        <w:tabs>
          <w:tab w:val="left" w:pos="600"/>
        </w:tabs>
        <w:ind w:left="600" w:hanging="600"/>
        <w:jc w:val="both"/>
      </w:pPr>
      <w:r>
        <w:t>The purchase price of the property is stated to be €[UDF:PurchasePrice]</w:t>
      </w:r>
    </w:p>
    <w:p>
      <w:pPr>
        <w:tabs>
          <w:tab w:val="left" w:pos="600"/>
        </w:tabs>
        <w:ind w:left="600" w:hanging="600"/>
        <w:jc w:val="both"/>
      </w:pPr>
    </w:p>
    <w:p>
      <w:pPr>
        <w:numPr>
          <w:ilvl w:val="0"/>
          <w:numId w:val="3"/>
        </w:numPr>
        <w:tabs>
          <w:tab w:val="left" w:pos="600"/>
        </w:tabs>
        <w:ind w:left="600" w:hanging="600"/>
        <w:jc w:val="both"/>
      </w:pPr>
      <w:r>
        <w:t xml:space="preserve">On signing Contracts </w:t>
      </w:r>
      <w:r>
        <w:rPr>
          <w:bCs/>
        </w:rPr>
        <w:t>a deposit</w:t>
      </w:r>
      <w:r>
        <w:t xml:space="preserve"> of €[UDF:PurchaseDeposit] will be required from you.  From this, you may deduct the amount of any Booking Deposit you have already paid to the Auctioneer.  It will, however, be necessary that you have a cheque/bank draft in the amount of the balance deposit payable to the Vendors Solicitors when we sign Contracts.  You will provide this bank draft to me and I will return it to the Vendors Solicitors with the signed Contracts.</w:t>
      </w:r>
    </w:p>
    <w:p>
      <w:pPr>
        <w:tabs>
          <w:tab w:val="left" w:pos="600"/>
        </w:tabs>
        <w:ind w:left="600" w:hanging="600"/>
        <w:jc w:val="both"/>
      </w:pPr>
    </w:p>
    <w:p>
      <w:pPr>
        <w:numPr>
          <w:ilvl w:val="0"/>
          <w:numId w:val="3"/>
        </w:numPr>
        <w:tabs>
          <w:tab w:val="left" w:pos="600"/>
        </w:tabs>
        <w:ind w:left="600" w:hanging="600"/>
        <w:jc w:val="both"/>
      </w:pPr>
      <w:r>
        <w:t>The Contract provides for a closing date of [UDF:ClosingDate].</w:t>
      </w:r>
    </w:p>
    <w:p>
      <w:pPr>
        <w:tabs>
          <w:tab w:val="left" w:pos="600"/>
        </w:tabs>
        <w:ind w:left="600" w:hanging="600"/>
        <w:jc w:val="both"/>
      </w:pPr>
    </w:p>
    <w:p>
      <w:pPr>
        <w:numPr>
          <w:ilvl w:val="0"/>
          <w:numId w:val="3"/>
        </w:numPr>
        <w:tabs>
          <w:tab w:val="left" w:pos="600"/>
        </w:tabs>
        <w:ind w:left="600" w:hanging="600"/>
        <w:jc w:val="both"/>
      </w:pPr>
      <w:r>
        <w:t>The Contract provides for an interest rate of 12%.  This is the rate of interest which the Vendors would be entitled to charge on any outstanding purchase money in the event that there was a delay on your part in completing the transaction after an agreed closing date (this only applies after the Contracts have been exchanged).</w:t>
      </w:r>
    </w:p>
    <w:p>
      <w:pPr>
        <w:jc w:val="both"/>
      </w:pPr>
    </w:p>
    <w:p>
      <w:pPr>
        <w:jc w:val="both"/>
      </w:pPr>
      <w:r>
        <w:t>At this stage I would also recommend that you direct your attention to the following matters:-</w:t>
      </w:r>
    </w:p>
    <w:p>
      <w:pPr>
        <w:jc w:val="both"/>
      </w:pPr>
    </w:p>
    <w:p>
      <w:pPr>
        <w:pStyle w:val="Heading1"/>
      </w:pPr>
      <w:r>
        <w:rPr>
          <w:u w:val="none"/>
        </w:rPr>
        <w:t>1</w:t>
      </w:r>
      <w:r>
        <w:rPr>
          <w:u w:val="none"/>
        </w:rPr>
        <w:tab/>
      </w:r>
      <w:r>
        <w:t>Maps/Identity of property</w:t>
      </w:r>
    </w:p>
    <w:p>
      <w:pPr>
        <w:pStyle w:val="EndnoteText"/>
        <w:widowControl/>
        <w:overflowPunct/>
        <w:autoSpaceDE/>
        <w:autoSpaceDN/>
        <w:adjustRightInd/>
        <w:textAlignment w:val="auto"/>
        <w:rPr>
          <w:rFonts w:ascii="Times New Roman" w:hAnsi="Times New Roman"/>
          <w:szCs w:val="24"/>
        </w:rPr>
      </w:pPr>
    </w:p>
    <w:p>
      <w:pPr>
        <w:jc w:val="both"/>
      </w:pPr>
      <w:r>
        <w:t xml:space="preserve">I enclose herewith a copy of the Maps of the property from the title deeds.  It is vitally important that you carefully check same and satisfy yourself that they accurately depicts the property you have inspected and wish to buy.  In particular, you should satisfy yourself that it accurately shows </w:t>
      </w:r>
      <w:r>
        <w:lastRenderedPageBreak/>
        <w:t>the location, extent, dimensions, boundaries and layout of the property.  I enclose herewith two copies of the map of the property.</w:t>
      </w:r>
    </w:p>
    <w:p>
      <w:pPr>
        <w:jc w:val="both"/>
      </w:pPr>
    </w:p>
    <w:p>
      <w:pPr>
        <w:jc w:val="both"/>
      </w:pPr>
      <w:r>
        <w:t>I suggest that when your Architect/Engineer/Surveyors attending to carry out a Survey of the property that you furnish this map to him/her in order that he/she should confirm that matters are in order.</w:t>
      </w:r>
    </w:p>
    <w:p>
      <w:pPr>
        <w:jc w:val="both"/>
      </w:pPr>
    </w:p>
    <w:p>
      <w:pPr>
        <w:jc w:val="both"/>
      </w:pPr>
      <w:r>
        <w:t>I enclose two copies of the map of the property and as confirmation that you are satisfied with the map please return one copy of the map duly signed by you.</w:t>
      </w:r>
    </w:p>
    <w:p>
      <w:pPr>
        <w:jc w:val="both"/>
      </w:pPr>
    </w:p>
    <w:p>
      <w:pPr>
        <w:jc w:val="both"/>
      </w:pPr>
      <w:r>
        <w:t>One of the maps furnished shows the location of car parking spaces which the apartment has a right to use.  Again you might confirm that same is in order.</w:t>
      </w:r>
    </w:p>
    <w:p>
      <w:pPr>
        <w:jc w:val="both"/>
      </w:pPr>
    </w:p>
    <w:p>
      <w:pPr>
        <w:jc w:val="both"/>
        <w:rPr>
          <w:b/>
        </w:rPr>
      </w:pPr>
      <w:r>
        <w:rPr>
          <w:b/>
        </w:rPr>
        <w:t>2.</w:t>
      </w:r>
      <w:r>
        <w:rPr>
          <w:b/>
        </w:rPr>
        <w:tab/>
      </w:r>
      <w:r>
        <w:rPr>
          <w:b/>
          <w:u w:val="single"/>
        </w:rPr>
        <w:t>Apartment Lease</w:t>
      </w:r>
    </w:p>
    <w:p>
      <w:pPr>
        <w:jc w:val="both"/>
      </w:pPr>
    </w:p>
    <w:p>
      <w:pPr>
        <w:jc w:val="both"/>
      </w:pPr>
      <w:r>
        <w:t>The property is held by a virtue of a lease for a term of several hundred years.  Apartments are normally owned in this way as use of a leasehold title enables the inclusion of various conditions that attach to the ownership of each apartment.  These conditions are necessary in order to ensure the proper management of the apartment block/development.  I enclose with this letter a copy of the apartment lease and I would draw your attention to the covenants on the part of the apartment owner which are set out on the pages I have marked.  I would draw your attention to the more important conditions as follows:</w:t>
      </w:r>
    </w:p>
    <w:p>
      <w:pPr>
        <w:jc w:val="both"/>
      </w:pPr>
    </w:p>
    <w:p>
      <w:pPr>
        <w:ind w:left="720" w:hanging="720"/>
        <w:jc w:val="both"/>
      </w:pPr>
      <w:r>
        <w:t>a)</w:t>
      </w:r>
      <w:r>
        <w:tab/>
        <w:t>You are obliged to be a member of the management company and to discharge a proportion of the overall costs and outlay incurred by the management company in the repair and maintenance of the common areas.  At the time of writing I am seeking details of the annual service charge payable in respect of the apartment together with further information in relation to the management company.</w:t>
      </w:r>
    </w:p>
    <w:p>
      <w:pPr>
        <w:jc w:val="both"/>
      </w:pPr>
    </w:p>
    <w:p>
      <w:pPr>
        <w:ind w:left="720" w:hanging="720"/>
        <w:jc w:val="both"/>
      </w:pPr>
      <w:r>
        <w:t>b)</w:t>
      </w:r>
      <w:r>
        <w:tab/>
        <w:t>Not to make any alterations to the exterior of the apartment without the consent of the management company.</w:t>
      </w:r>
    </w:p>
    <w:p>
      <w:pPr>
        <w:jc w:val="both"/>
      </w:pPr>
    </w:p>
    <w:p>
      <w:pPr>
        <w:ind w:left="720" w:hanging="720"/>
        <w:jc w:val="both"/>
      </w:pPr>
      <w:r>
        <w:t>c)</w:t>
      </w:r>
      <w:r>
        <w:tab/>
        <w:t>To keep the floors adequately covered with floor coverings that deaden sound and comply with the building regulations.</w:t>
      </w:r>
    </w:p>
    <w:p>
      <w:pPr>
        <w:jc w:val="both"/>
      </w:pPr>
    </w:p>
    <w:p>
      <w:pPr>
        <w:jc w:val="both"/>
      </w:pPr>
      <w:r>
        <w:t>d)</w:t>
      </w:r>
      <w:r>
        <w:tab/>
        <w:t>Not to erect any external T.V. wireless aerials or satellite dishes or alarm boxes.</w:t>
      </w:r>
    </w:p>
    <w:p>
      <w:pPr>
        <w:jc w:val="both"/>
      </w:pPr>
    </w:p>
    <w:p>
      <w:pPr>
        <w:ind w:left="720" w:hanging="720"/>
        <w:jc w:val="both"/>
      </w:pPr>
      <w:r>
        <w:t>e)</w:t>
      </w:r>
      <w:r>
        <w:tab/>
        <w:t>Not to decorate or alter the external appearance of the property or the balcony or roof garden if there is one.</w:t>
      </w:r>
    </w:p>
    <w:p>
      <w:pPr>
        <w:jc w:val="both"/>
      </w:pPr>
    </w:p>
    <w:p>
      <w:pPr>
        <w:jc w:val="both"/>
        <w:rPr>
          <w:b/>
        </w:rPr>
      </w:pPr>
      <w:r>
        <w:rPr>
          <w:b/>
        </w:rPr>
        <w:t>3.</w:t>
      </w:r>
      <w:r>
        <w:rPr>
          <w:b/>
        </w:rPr>
        <w:tab/>
      </w:r>
      <w:r>
        <w:rPr>
          <w:b/>
          <w:u w:val="single"/>
        </w:rPr>
        <w:t>Management Company Structure</w:t>
      </w:r>
    </w:p>
    <w:p>
      <w:pPr>
        <w:jc w:val="both"/>
      </w:pPr>
    </w:p>
    <w:p>
      <w:pPr>
        <w:jc w:val="both"/>
      </w:pPr>
      <w:r>
        <w:t>As with all apartment developments, when all of the apartments have been sold, the common areas that remain are transferred into the ownership of the management company.  It is important to be aware that the common areas include not only the internal and external common areas such as corridors, landscaped areas, car parking areas etc. but also the main structural parts of the apartment block to include the roof, foundation and structural wall.  The management company assumes responsibility for the repair, maintenance and upkeep of these areas.</w:t>
      </w:r>
    </w:p>
    <w:p>
      <w:pPr>
        <w:jc w:val="both"/>
      </w:pPr>
    </w:p>
    <w:p>
      <w:pPr>
        <w:jc w:val="both"/>
      </w:pPr>
      <w:r>
        <w:lastRenderedPageBreak/>
        <w:t>As indicated above, the cost of this repair and maintenance is passed on the apartment owners by means of the annual service charge.  In buying a second hand apartment it is very important to ensure that the management company is properly collecting all of the service charge and is covering the cost of running the development.  It is also vitally important that the management company have created a sinking fund and is putting aside a proportion of each years income to cover any unexpected large expenditure which may arise.  Obviously from time to time substantial repairs may arise to include roof repairs, repainting, re-tarmacing carparking etc.  It is important that funds are available to cover the cost of such works as they arise.  If not you will find the service charge rocketing in a particular year.</w:t>
      </w:r>
    </w:p>
    <w:p>
      <w:pPr>
        <w:jc w:val="both"/>
      </w:pPr>
    </w:p>
    <w:p>
      <w:pPr>
        <w:jc w:val="both"/>
      </w:pPr>
      <w:r>
        <w:t>I am seeking/have obtained copies of the accounts of the management company and will pass same to you when I receive them.  It is important that you carefully consider same and will be happy with them.</w:t>
      </w:r>
    </w:p>
    <w:p>
      <w:pPr>
        <w:jc w:val="both"/>
      </w:pPr>
    </w:p>
    <w:p>
      <w:pPr>
        <w:jc w:val="both"/>
      </w:pPr>
      <w:r>
        <w:t>4.</w:t>
      </w:r>
      <w:r>
        <w:tab/>
      </w:r>
      <w:r>
        <w:rPr>
          <w:b/>
          <w:u w:val="single"/>
        </w:rPr>
        <w:t>Car Parking Spaces</w:t>
      </w:r>
    </w:p>
    <w:p>
      <w:pPr>
        <w:jc w:val="both"/>
      </w:pPr>
    </w:p>
    <w:p>
      <w:pPr>
        <w:jc w:val="both"/>
      </w:pPr>
      <w:r>
        <w:t>I have included copies of the maps showing the location of the car parking spaces which you are entitled to use.  It is important that you confirm that same are accurate.  Please be aware that whilst you get he exclusive right to use these spaces you are not entitled to sell or dispose of same independently of the apartment.</w:t>
      </w:r>
    </w:p>
    <w:p>
      <w:pPr>
        <w:jc w:val="both"/>
      </w:pPr>
    </w:p>
    <w:p>
      <w:pPr>
        <w:jc w:val="both"/>
      </w:pPr>
      <w:r>
        <w:t>5.</w:t>
      </w:r>
      <w:r>
        <w:tab/>
      </w:r>
      <w:r>
        <w:rPr>
          <w:b/>
          <w:u w:val="single"/>
        </w:rPr>
        <w:t>Contents</w:t>
      </w:r>
    </w:p>
    <w:p>
      <w:pPr>
        <w:jc w:val="both"/>
      </w:pPr>
    </w:p>
    <w:p>
      <w:pPr>
        <w:jc w:val="both"/>
      </w:pPr>
      <w:r>
        <w:t>Please let me know if there are any contents included in the price as I must refer to them in the Contract.</w:t>
      </w:r>
    </w:p>
    <w:p>
      <w:pPr>
        <w:jc w:val="both"/>
      </w:pPr>
    </w:p>
    <w:p>
      <w:pPr>
        <w:pStyle w:val="Heading1"/>
      </w:pPr>
      <w:r>
        <w:rPr>
          <w:b w:val="0"/>
          <w:u w:val="none"/>
        </w:rPr>
        <w:t>6</w:t>
      </w:r>
      <w:r>
        <w:rPr>
          <w:u w:val="none"/>
        </w:rPr>
        <w:tab/>
      </w:r>
      <w:r>
        <w:t>Planning</w:t>
      </w:r>
    </w:p>
    <w:p>
      <w:pPr>
        <w:jc w:val="both"/>
        <w:rPr>
          <w:b/>
          <w:bCs/>
          <w:u w:val="single"/>
        </w:rPr>
      </w:pPr>
    </w:p>
    <w:p>
      <w:pPr>
        <w:jc w:val="both"/>
      </w:pPr>
      <w:r>
        <w:t>I have been furnished with the following planning documents in relation to the property:-</w:t>
      </w:r>
    </w:p>
    <w:p>
      <w:pPr>
        <w:jc w:val="both"/>
      </w:pPr>
    </w:p>
    <w:p>
      <w:pPr>
        <w:jc w:val="both"/>
      </w:pPr>
    </w:p>
    <w:p>
      <w:pPr>
        <w:jc w:val="both"/>
      </w:pPr>
    </w:p>
    <w:p>
      <w:pPr>
        <w:jc w:val="both"/>
      </w:pPr>
      <w:r>
        <w:t>I recommend that you give copies of the documents to your Architect/Engineer/Surveyor and have the same checked by him/her.</w:t>
      </w:r>
    </w:p>
    <w:p>
      <w:pPr>
        <w:jc w:val="both"/>
      </w:pPr>
    </w:p>
    <w:p>
      <w:pPr>
        <w:pStyle w:val="Heading1"/>
      </w:pPr>
      <w:r>
        <w:rPr>
          <w:b w:val="0"/>
          <w:u w:val="none"/>
        </w:rPr>
        <w:t>7.</w:t>
      </w:r>
      <w:r>
        <w:rPr>
          <w:u w:val="none"/>
        </w:rPr>
        <w:tab/>
      </w:r>
      <w:r>
        <w:t>Survey</w:t>
      </w:r>
    </w:p>
    <w:p>
      <w:pPr>
        <w:jc w:val="both"/>
        <w:rPr>
          <w:b/>
          <w:bCs/>
          <w:u w:val="single"/>
        </w:rPr>
      </w:pPr>
    </w:p>
    <w:p>
      <w:pPr>
        <w:pStyle w:val="BodyText"/>
      </w:pPr>
      <w:r>
        <w:t>As I have already indicated, it is vitally important that you have a full inspection of the property carried out by your Architect, Engineer or Surveyor.  Your representative should give attention both to the property itself, its structure, its services and all aspects thereof.  You should also ensure that the boundaries to the property are clear, well defined and not in dispute.</w:t>
      </w:r>
    </w:p>
    <w:p>
      <w:pPr>
        <w:jc w:val="both"/>
      </w:pPr>
    </w:p>
    <w:p>
      <w:pPr>
        <w:jc w:val="both"/>
      </w:pPr>
      <w:r>
        <w:t>I recommend to you that you ensure that any Architects/Engineers/Surveyor you engage has all necessary Professional Indemnity Insurance in the event that you need to take further recourse against him/her in the future.</w:t>
      </w:r>
    </w:p>
    <w:p>
      <w:pPr>
        <w:jc w:val="both"/>
      </w:pPr>
    </w:p>
    <w:p>
      <w:pPr>
        <w:pStyle w:val="Heading1"/>
      </w:pPr>
      <w:r>
        <w:rPr>
          <w:b w:val="0"/>
          <w:u w:val="none"/>
        </w:rPr>
        <w:t xml:space="preserve">8. </w:t>
      </w:r>
      <w:r>
        <w:rPr>
          <w:u w:val="none"/>
        </w:rPr>
        <w:tab/>
      </w:r>
      <w:r>
        <w:t>Planning – future development</w:t>
      </w:r>
    </w:p>
    <w:p>
      <w:pPr>
        <w:jc w:val="both"/>
        <w:rPr>
          <w:b/>
          <w:bCs/>
          <w:u w:val="single"/>
        </w:rPr>
      </w:pPr>
    </w:p>
    <w:p>
      <w:pPr>
        <w:jc w:val="both"/>
      </w:pPr>
      <w:r>
        <w:lastRenderedPageBreak/>
        <w:t>It is imperative in buying a property like this it is vitally important that you attend at the Planning Office and ascertain any future plans for a development of the immediate/general area of the property.  I recommend that you attend at the Planning Office of the local authority and check the development plan to see if there are any proposed developments to the area which would have an impact on your property or on its value to you.  Such matters would include road widening, new housing estates, travellers halting sites, bail hostels etc.</w:t>
      </w:r>
    </w:p>
    <w:p>
      <w:pPr>
        <w:jc w:val="both"/>
      </w:pPr>
    </w:p>
    <w:p>
      <w:pPr>
        <w:pStyle w:val="Heading2"/>
        <w:numPr>
          <w:ilvl w:val="0"/>
          <w:numId w:val="0"/>
        </w:numPr>
      </w:pPr>
      <w:r>
        <w:rPr>
          <w:b w:val="0"/>
          <w:u w:val="none"/>
        </w:rPr>
        <w:t>9.</w:t>
      </w:r>
      <w:r>
        <w:rPr>
          <w:u w:val="none"/>
        </w:rPr>
        <w:t xml:space="preserve"> </w:t>
      </w:r>
      <w:r>
        <w:rPr>
          <w:u w:val="none"/>
        </w:rPr>
        <w:tab/>
      </w:r>
      <w:r>
        <w:t>Services</w:t>
      </w:r>
    </w:p>
    <w:p>
      <w:pPr>
        <w:jc w:val="both"/>
        <w:rPr>
          <w:b/>
          <w:bCs/>
          <w:u w:val="single"/>
        </w:rPr>
      </w:pPr>
    </w:p>
    <w:p>
      <w:pPr>
        <w:jc w:val="both"/>
      </w:pPr>
      <w:r>
        <w:t>At this stage, you should clarify the nature of all services to the property as follows:-</w:t>
      </w:r>
    </w:p>
    <w:p>
      <w:pPr>
        <w:tabs>
          <w:tab w:val="left" w:pos="540"/>
        </w:tabs>
        <w:ind w:left="540" w:hanging="540"/>
        <w:jc w:val="both"/>
      </w:pPr>
    </w:p>
    <w:p>
      <w:pPr>
        <w:numPr>
          <w:ilvl w:val="0"/>
          <w:numId w:val="7"/>
        </w:numPr>
        <w:tabs>
          <w:tab w:val="left" w:pos="540"/>
        </w:tabs>
        <w:ind w:left="540" w:hanging="540"/>
        <w:jc w:val="both"/>
      </w:pPr>
      <w:r>
        <w:t>Does the property abut a public road?  You should ensure that any road serving the property is in charge of the local authority i.e. that the relevant City/County Council maintain and repair the same.</w:t>
      </w:r>
    </w:p>
    <w:p>
      <w:pPr>
        <w:tabs>
          <w:tab w:val="left" w:pos="540"/>
        </w:tabs>
        <w:ind w:left="540" w:hanging="540"/>
        <w:jc w:val="both"/>
      </w:pPr>
    </w:p>
    <w:p>
      <w:pPr>
        <w:numPr>
          <w:ilvl w:val="0"/>
          <w:numId w:val="7"/>
        </w:numPr>
        <w:tabs>
          <w:tab w:val="left" w:pos="540"/>
        </w:tabs>
        <w:ind w:left="540" w:hanging="540"/>
        <w:jc w:val="both"/>
      </w:pPr>
      <w:r>
        <w:t>How is the property serviced as to water supply and sewerage disposal.  If the property is not served with mains water and sewerage, you should check the following:-</w:t>
      </w:r>
    </w:p>
    <w:p>
      <w:pPr>
        <w:tabs>
          <w:tab w:val="left" w:pos="540"/>
        </w:tabs>
        <w:ind w:left="540" w:hanging="540"/>
        <w:jc w:val="both"/>
      </w:pPr>
    </w:p>
    <w:p>
      <w:pPr>
        <w:numPr>
          <w:ilvl w:val="1"/>
          <w:numId w:val="7"/>
        </w:numPr>
        <w:tabs>
          <w:tab w:val="left" w:pos="540"/>
        </w:tabs>
        <w:ind w:left="540" w:hanging="540"/>
        <w:jc w:val="both"/>
      </w:pPr>
      <w:r>
        <w:t>Any septic tank and percolator serving the property should be situate entirely within the boundaries of the site you are purchasing.  I recommend that you have this checked by your Architect and confirm to me that you are satisfied.</w:t>
      </w:r>
    </w:p>
    <w:p>
      <w:pPr>
        <w:tabs>
          <w:tab w:val="left" w:pos="540"/>
        </w:tabs>
        <w:ind w:left="540" w:hanging="540"/>
        <w:jc w:val="both"/>
      </w:pPr>
    </w:p>
    <w:p>
      <w:pPr>
        <w:numPr>
          <w:ilvl w:val="1"/>
          <w:numId w:val="7"/>
        </w:numPr>
        <w:tabs>
          <w:tab w:val="left" w:pos="540"/>
        </w:tabs>
        <w:ind w:left="540" w:hanging="540"/>
        <w:jc w:val="both"/>
      </w:pPr>
      <w:r>
        <w:t>Any well and associated services serving the property should also be fully comprised within the boundaries of the site in sale.  Again, I recommend that you have your Architect/Engineer check this matter and confirm the position to me.</w:t>
      </w:r>
    </w:p>
    <w:p>
      <w:pPr>
        <w:tabs>
          <w:tab w:val="left" w:pos="540"/>
        </w:tabs>
        <w:ind w:left="540" w:hanging="540"/>
        <w:jc w:val="both"/>
      </w:pPr>
    </w:p>
    <w:p>
      <w:pPr>
        <w:numPr>
          <w:ilvl w:val="1"/>
          <w:numId w:val="7"/>
        </w:numPr>
        <w:tabs>
          <w:tab w:val="left" w:pos="540"/>
        </w:tabs>
        <w:ind w:left="540" w:hanging="540"/>
        <w:jc w:val="both"/>
      </w:pPr>
      <w:r>
        <w:t>Further, you should ensure that all septic tank systems and wells together with associated services are fully operational and in good order.  Your Architect/Engineer should attend to this and satisfy you that all such services are in good working order and will not occasion you undue expense in the future.  You should also take steps to ensure that all appropriate Planning Permissions exist for any well/septic tank.</w:t>
      </w:r>
    </w:p>
    <w:p>
      <w:pPr>
        <w:jc w:val="both"/>
        <w:rPr>
          <w:b/>
          <w:bCs/>
          <w:u w:val="single"/>
        </w:rPr>
      </w:pPr>
    </w:p>
    <w:p>
      <w:pPr>
        <w:pStyle w:val="Heading1"/>
      </w:pPr>
      <w:r>
        <w:rPr>
          <w:b w:val="0"/>
          <w:u w:val="none"/>
        </w:rPr>
        <w:t>10.</w:t>
      </w:r>
      <w:r>
        <w:rPr>
          <w:u w:val="none"/>
        </w:rPr>
        <w:tab/>
      </w:r>
      <w:r>
        <w:t>Loan offer</w:t>
      </w:r>
    </w:p>
    <w:p>
      <w:pPr>
        <w:jc w:val="both"/>
        <w:rPr>
          <w:b/>
          <w:bCs/>
          <w:u w:val="single"/>
        </w:rPr>
      </w:pPr>
    </w:p>
    <w:p>
      <w:pPr>
        <w:pStyle w:val="BodyText"/>
      </w:pPr>
      <w:r>
        <w:t>Prior to entering into a binding unconditional Contract to purchase it is vitally important that you have an appropriate letter of loan offer from your lending institution.  Please be aware that all loan offers for the purchase of principal private residences comprise a number of conditions.  Two conditions which are found on every loan offer are as follows:-</w:t>
      </w:r>
    </w:p>
    <w:p>
      <w:pPr>
        <w:tabs>
          <w:tab w:val="left" w:pos="600"/>
        </w:tabs>
        <w:ind w:left="600" w:hanging="600"/>
        <w:jc w:val="both"/>
      </w:pPr>
    </w:p>
    <w:p>
      <w:pPr>
        <w:numPr>
          <w:ilvl w:val="0"/>
          <w:numId w:val="5"/>
        </w:numPr>
        <w:tabs>
          <w:tab w:val="left" w:pos="600"/>
        </w:tabs>
        <w:ind w:left="600" w:hanging="600"/>
        <w:jc w:val="both"/>
      </w:pPr>
      <w:r>
        <w:rPr>
          <w:b/>
          <w:bCs/>
          <w:u w:val="single"/>
        </w:rPr>
        <w:t>Life Cover/Mortgage Protection Cover</w:t>
      </w:r>
      <w:r>
        <w:t>.  It will be a requirement of your bank or building society that you have in place an appropriate policy of Life Insurance/Mortgage Protection Insurance to cover the amount of the loan for its duration.  You will not be able to draw the funds from your lending institution until such time as this is in place.  For this reason it is very important that you make all necessary enquiries at this stage to ascertain that you will have no difficulty in obtaining approval from a Life Assurance Company.  Given the delays which are often occasioned in Life Assurance applications I would urge you to put this in hand immediately.  Please be aware that in the course of the application the Life Assurance Company may require certain forms to be filled out by your doctor or may elect to send you for a medical.</w:t>
      </w:r>
    </w:p>
    <w:p>
      <w:pPr>
        <w:tabs>
          <w:tab w:val="left" w:pos="600"/>
        </w:tabs>
        <w:ind w:left="600" w:hanging="600"/>
        <w:jc w:val="both"/>
      </w:pPr>
    </w:p>
    <w:p>
      <w:pPr>
        <w:numPr>
          <w:ilvl w:val="0"/>
          <w:numId w:val="5"/>
        </w:numPr>
        <w:tabs>
          <w:tab w:val="left" w:pos="600"/>
        </w:tabs>
        <w:ind w:left="600" w:hanging="600"/>
        <w:jc w:val="both"/>
      </w:pPr>
      <w:r>
        <w:rPr>
          <w:b/>
          <w:bCs/>
          <w:u w:val="single"/>
        </w:rPr>
        <w:t>Buildings/Fire Insurance.</w:t>
      </w:r>
      <w:r>
        <w:t xml:space="preserve">  It will be a requirement of your lending institution that Buildings Insurance cover be in place on the property prior to drawdown of funds with cover in place for all appropriate risks.  The insurance company will also require that their interest be noted on the policy.  Before the lending institution will part with funds they will require to have the original Insurance policy together with an original </w:t>
      </w:r>
      <w:r>
        <w:rPr>
          <w:b/>
          <w:bCs/>
        </w:rPr>
        <w:t xml:space="preserve">indemnity letter </w:t>
      </w:r>
      <w:r>
        <w:t>from the insurance company.  Again, I urge you to put this in hand at the earliest opportunity.</w:t>
      </w:r>
    </w:p>
    <w:p>
      <w:pPr>
        <w:tabs>
          <w:tab w:val="left" w:pos="600"/>
        </w:tabs>
        <w:ind w:left="600" w:hanging="600"/>
        <w:jc w:val="both"/>
      </w:pPr>
    </w:p>
    <w:p>
      <w:pPr>
        <w:numPr>
          <w:ilvl w:val="0"/>
          <w:numId w:val="5"/>
        </w:numPr>
        <w:tabs>
          <w:tab w:val="left" w:pos="600"/>
        </w:tabs>
        <w:ind w:left="600" w:hanging="600"/>
        <w:jc w:val="both"/>
      </w:pPr>
      <w:r>
        <w:t>The lending institution will also insert other conditions in relation to your loan and it is vitally important that you satisfy same before you enter into unconditional Contracts to buy.</w:t>
      </w:r>
    </w:p>
    <w:p>
      <w:pPr>
        <w:jc w:val="both"/>
      </w:pPr>
    </w:p>
    <w:p>
      <w:pPr>
        <w:pStyle w:val="Heading2"/>
        <w:numPr>
          <w:ilvl w:val="0"/>
          <w:numId w:val="0"/>
        </w:numPr>
      </w:pPr>
      <w:r>
        <w:rPr>
          <w:b w:val="0"/>
          <w:u w:val="none"/>
        </w:rPr>
        <w:t xml:space="preserve">11.     </w:t>
      </w:r>
      <w:r>
        <w:t>Contract</w:t>
      </w:r>
    </w:p>
    <w:p>
      <w:pPr>
        <w:jc w:val="both"/>
      </w:pPr>
    </w:p>
    <w:p>
      <w:pPr>
        <w:jc w:val="both"/>
      </w:pPr>
      <w:r>
        <w:t>You will be aware that once you enter into an unconditional Contract to buy you are legally committed to complete the transaction and cannot pull out.  In the event that you cannot complete by the closing date you are exposed to interest being charged at the rate provided for in the Contract.  In the event that you are unable to complete after the closing date, the Vendors may serve a 28 day completion notice.  If you have not completed within this further 28 day period, the Vendors will be entitled to forfeit your deposit and re-sell the property on the open market.  Please also be aware that in the event the property is re-sold on the open market at a price less than the price agreed with yourself, the Vendors are entitled to pursue you for the difference.  Such difficulties are very unlikely, however, it is important that you be aware of same at the outset.</w:t>
      </w:r>
    </w:p>
    <w:p>
      <w:pPr>
        <w:jc w:val="both"/>
      </w:pPr>
    </w:p>
    <w:p>
      <w:pPr>
        <w:jc w:val="both"/>
      </w:pPr>
      <w:r>
        <w:t>When you have considered the contents of this letter you will telephone my office to make an appointment to call and see me to discuss the Contracts.</w:t>
      </w:r>
    </w:p>
    <w:p>
      <w:pPr>
        <w:jc w:val="both"/>
      </w:pPr>
    </w:p>
    <w:p>
      <w:pPr>
        <w:jc w:val="both"/>
      </w:pPr>
      <w:r>
        <w:t>I look forward to hearing from you.</w:t>
      </w:r>
    </w:p>
    <w:p>
      <w:pPr>
        <w:jc w:val="both"/>
      </w:pPr>
      <w:r>
        <w:br/>
        <w:t>Best wishes.</w:t>
      </w:r>
    </w:p>
    <w:p/>
    <w:p>
      <w:r>
        <w:t>Yours sincerely,</w:t>
      </w:r>
    </w:p>
    <w:p/>
    <w:p/>
    <w:p>
      <w:r>
        <w:t>______________________</w:t>
      </w:r>
    </w:p>
    <w:p>
      <w:r>
        <w:t>[MAT:FeName]</w:t>
      </w:r>
    </w:p>
    <w:p>
      <w:r>
        <w:t>[SYS:CON:Name]</w:t>
      </w:r>
    </w:p>
    <w:p>
      <w:r>
        <w:t>Encls.</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815AC"/>
    <w:multiLevelType w:val="hybridMultilevel"/>
    <w:tmpl w:val="2506CAA2"/>
    <w:lvl w:ilvl="0" w:tplc="6270C21E">
      <w:start w:val="6"/>
      <w:numFmt w:val="decimal"/>
      <w:pStyle w:val="Heading2"/>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BF0435"/>
    <w:multiLevelType w:val="hybridMultilevel"/>
    <w:tmpl w:val="4EC40D38"/>
    <w:lvl w:ilvl="0" w:tplc="033ECFA4">
      <w:start w:val="1"/>
      <w:numFmt w:val="lowerLetter"/>
      <w:lvlText w:val="(%1)"/>
      <w:lvlJc w:val="left"/>
      <w:pPr>
        <w:tabs>
          <w:tab w:val="num" w:pos="1080"/>
        </w:tabs>
        <w:ind w:left="1080" w:hanging="720"/>
      </w:pPr>
      <w:rPr>
        <w:rFonts w:hint="default"/>
      </w:rPr>
    </w:lvl>
    <w:lvl w:ilvl="1" w:tplc="5C467EEE">
      <w:start w:val="8"/>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1A1B3A"/>
    <w:multiLevelType w:val="hybridMultilevel"/>
    <w:tmpl w:val="CBD0A312"/>
    <w:lvl w:ilvl="0" w:tplc="2DE8A7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BC39B5"/>
    <w:multiLevelType w:val="hybridMultilevel"/>
    <w:tmpl w:val="4A44703E"/>
    <w:lvl w:ilvl="0" w:tplc="27C89CD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88514C"/>
    <w:multiLevelType w:val="hybridMultilevel"/>
    <w:tmpl w:val="60622BE4"/>
    <w:lvl w:ilvl="0" w:tplc="F5E034F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6C59E1"/>
    <w:multiLevelType w:val="hybridMultilevel"/>
    <w:tmpl w:val="17A6A480"/>
    <w:lvl w:ilvl="0" w:tplc="2DE8A718">
      <w:start w:val="1"/>
      <w:numFmt w:val="decimal"/>
      <w:lvlText w:val="%1"/>
      <w:lvlJc w:val="left"/>
      <w:pPr>
        <w:tabs>
          <w:tab w:val="num" w:pos="1080"/>
        </w:tabs>
        <w:ind w:left="1080" w:hanging="720"/>
      </w:pPr>
      <w:rPr>
        <w:rFonts w:hint="default"/>
      </w:rPr>
    </w:lvl>
    <w:lvl w:ilvl="1" w:tplc="42BC9A9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AFBA7C6E-E8AB-444F-B86E-DDE3ACDC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both"/>
      <w:outlineLvl w:val="0"/>
    </w:pPr>
    <w:rPr>
      <w:b/>
      <w:bCs/>
      <w:u w:val="single"/>
    </w:rPr>
  </w:style>
  <w:style w:type="paragraph" w:styleId="Heading2">
    <w:name w:val="heading 2"/>
    <w:basedOn w:val="Normal"/>
    <w:next w:val="Normal"/>
    <w:qFormat/>
    <w:pPr>
      <w:keepNext/>
      <w:numPr>
        <w:numId w:val="6"/>
      </w:numPr>
      <w:ind w:hanging="720"/>
      <w:jc w:val="both"/>
      <w:outlineLvl w:val="1"/>
    </w:pPr>
    <w:rPr>
      <w:b/>
      <w:bCs/>
      <w:u w:val="single"/>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ListParagraph">
    <w:name w:val="List Paragraph"/>
    <w:basedOn w:val="Normal"/>
    <w:qFormat/>
    <w:pPr>
      <w:ind w:left="720"/>
    </w:pPr>
    <w:rPr>
      <w:lang w:val="en-US"/>
    </w:rPr>
  </w:style>
  <w:style w:type="paragraph" w:styleId="BodyText">
    <w:name w:val="Body Text"/>
    <w:basedOn w:val="Normal"/>
    <w:semiHidden/>
    <w:pPr>
      <w:jc w:val="both"/>
    </w:p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Callan &amp; Co</Company>
  <LinksUpToDate>false</LinksUpToDate>
  <CharactersWithSpaces>11964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2</cp:revision>
  <dcterms:created xsi:type="dcterms:W3CDTF">2019-03-04T11:29:00Z</dcterms:created>
  <dcterms:modified xsi:type="dcterms:W3CDTF">2019-03-04T11:29:00Z</dcterms:modified>
</cp:coreProperties>
</file>